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259" w:rsidRDefault="00965100" w:rsidP="00DF4259">
      <w:pPr>
        <w:widowControl/>
        <w:autoSpaceDE/>
        <w:autoSpaceDN/>
        <w:adjustRightInd/>
        <w:spacing w:after="210" w:line="285" w:lineRule="atLeast"/>
        <w:textAlignment w:val="auto"/>
        <w:rPr>
          <w:rFonts w:ascii="Verdana" w:hAnsi="Verdana" w:cs="Times New Roman"/>
          <w:sz w:val="20"/>
          <w:szCs w:val="20"/>
        </w:rPr>
      </w:pPr>
      <w:r>
        <w:rPr>
          <w:rFonts w:ascii="Verdana" w:hAnsi="Verdana" w:cs="Times New Roman"/>
          <w:sz w:val="20"/>
          <w:szCs w:val="20"/>
        </w:rPr>
        <w:t>[INSERT PRACTICE LETTERHEAD]</w:t>
      </w:r>
    </w:p>
    <w:p w:rsidR="00DF4259" w:rsidRDefault="00DF4259" w:rsidP="00DF4259">
      <w:pPr>
        <w:widowControl/>
        <w:numPr>
          <w:ilvl w:val="0"/>
          <w:numId w:val="2"/>
        </w:numPr>
        <w:tabs>
          <w:tab w:val="clear" w:pos="720"/>
        </w:tabs>
        <w:autoSpaceDE/>
        <w:autoSpaceDN/>
        <w:adjustRightInd/>
        <w:spacing w:after="210" w:line="285" w:lineRule="atLeast"/>
        <w:ind w:left="0" w:firstLine="0"/>
        <w:textAlignment w:val="auto"/>
        <w:rPr>
          <w:rFonts w:ascii="Verdana" w:hAnsi="Verdana" w:cs="Times New Roman"/>
          <w:sz w:val="20"/>
          <w:szCs w:val="20"/>
        </w:rPr>
      </w:pPr>
    </w:p>
    <w:p w:rsidR="00DF4259" w:rsidRPr="00DF4259" w:rsidRDefault="00DF4259" w:rsidP="00DF4259">
      <w:pPr>
        <w:widowControl/>
        <w:numPr>
          <w:ilvl w:val="0"/>
          <w:numId w:val="2"/>
        </w:numPr>
        <w:tabs>
          <w:tab w:val="clear" w:pos="720"/>
        </w:tabs>
        <w:autoSpaceDE/>
        <w:autoSpaceDN/>
        <w:adjustRightInd/>
        <w:spacing w:after="210" w:line="285" w:lineRule="atLeast"/>
        <w:ind w:left="0" w:firstLine="0"/>
        <w:textAlignment w:val="auto"/>
        <w:rPr>
          <w:rFonts w:ascii="Verdana" w:hAnsi="Verdana" w:cs="Times New Roman"/>
          <w:sz w:val="20"/>
          <w:szCs w:val="20"/>
        </w:rPr>
      </w:pPr>
      <w:r w:rsidRPr="00DF4259">
        <w:rPr>
          <w:rFonts w:ascii="Verdana" w:hAnsi="Verdana" w:cs="Times New Roman"/>
          <w:sz w:val="20"/>
          <w:szCs w:val="20"/>
        </w:rPr>
        <w:t xml:space="preserve">Good health care for newborns, infants, children, and adolescents begins with the well-child visit (checkup) and other services that help keep children healthy. These are </w:t>
      </w:r>
      <w:r w:rsidRPr="00DF4259">
        <w:rPr>
          <w:rFonts w:ascii="Verdana" w:hAnsi="Verdana" w:cs="Times New Roman"/>
          <w:i/>
          <w:iCs/>
          <w:sz w:val="20"/>
          <w:szCs w:val="20"/>
        </w:rPr>
        <w:t xml:space="preserve">preventive </w:t>
      </w:r>
      <w:r w:rsidRPr="00DF4259">
        <w:rPr>
          <w:rFonts w:ascii="Verdana" w:hAnsi="Verdana" w:cs="Times New Roman"/>
          <w:sz w:val="20"/>
          <w:szCs w:val="20"/>
        </w:rPr>
        <w:t>services. Our doctors and staff provide these services based on a plan called Bright Futures. The American Academy of Pediatrics (AAP) made this plan to help doctors and families know what preventive services children should receive from birth to 21 years of age, such as screening tests, and advise about staying healthy and safe. This plan can be altered to suit each child as needed. We also follow the AAP vaccine schedule for newborns, infants, children, and adolescents.</w:t>
      </w:r>
    </w:p>
    <w:p w:rsidR="00DF4259" w:rsidRPr="00DF4259" w:rsidRDefault="00DF4259" w:rsidP="00DF4259">
      <w:pPr>
        <w:widowControl/>
        <w:numPr>
          <w:ilvl w:val="0"/>
          <w:numId w:val="2"/>
        </w:numPr>
        <w:tabs>
          <w:tab w:val="clear" w:pos="720"/>
        </w:tabs>
        <w:autoSpaceDE/>
        <w:autoSpaceDN/>
        <w:adjustRightInd/>
        <w:spacing w:after="210" w:line="285" w:lineRule="atLeast"/>
        <w:ind w:left="0" w:firstLine="0"/>
        <w:textAlignment w:val="auto"/>
        <w:rPr>
          <w:rFonts w:ascii="Verdana" w:hAnsi="Verdana" w:cs="Times New Roman"/>
          <w:sz w:val="20"/>
          <w:szCs w:val="20"/>
        </w:rPr>
      </w:pPr>
      <w:r w:rsidRPr="00DF4259">
        <w:rPr>
          <w:rFonts w:ascii="Verdana" w:hAnsi="Verdana" w:cs="Times New Roman"/>
          <w:sz w:val="20"/>
          <w:szCs w:val="20"/>
        </w:rPr>
        <w:t>Because preventive services are important to keeping children healthy, the Patient Protection and Affordable Care Act (health care reform law) includes a rule that all preventive care screenings and services included in the Bright Futures plan and vaccine schedule must be covered by most health plans. This is not always true, though, as some older plans, called grandfathered plans, do not have to pay in full for preventive services.</w:t>
      </w:r>
    </w:p>
    <w:tbl>
      <w:tblPr>
        <w:tblW w:w="5000" w:type="pct"/>
        <w:tblCellSpacing w:w="0" w:type="dxa"/>
        <w:shd w:val="clear" w:color="auto" w:fill="666666"/>
        <w:tblCellMar>
          <w:left w:w="0" w:type="dxa"/>
          <w:right w:w="0" w:type="dxa"/>
        </w:tblCellMar>
        <w:tblLook w:val="04A0" w:firstRow="1" w:lastRow="0" w:firstColumn="1" w:lastColumn="0" w:noHBand="0" w:noVBand="1"/>
      </w:tblPr>
      <w:tblGrid>
        <w:gridCol w:w="9930"/>
      </w:tblGrid>
      <w:tr w:rsidR="00DF4259" w:rsidRPr="00DF4259">
        <w:trPr>
          <w:tblCellSpacing w:w="0" w:type="dxa"/>
        </w:trPr>
        <w:tc>
          <w:tcPr>
            <w:tcW w:w="0" w:type="auto"/>
            <w:tcBorders>
              <w:top w:val="single" w:sz="6" w:space="0" w:color="666666"/>
              <w:left w:val="single" w:sz="6" w:space="0" w:color="666666"/>
              <w:bottom w:val="single" w:sz="2" w:space="0" w:color="666666"/>
              <w:right w:val="single" w:sz="6" w:space="0" w:color="666666"/>
            </w:tcBorders>
            <w:shd w:val="clear" w:color="auto" w:fill="EAEAEA"/>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900"/>
            </w:tblGrid>
            <w:tr w:rsidR="00DF4259" w:rsidRPr="00DF4259">
              <w:trPr>
                <w:tblCellSpacing w:w="0" w:type="dxa"/>
              </w:trPr>
              <w:tc>
                <w:tcPr>
                  <w:tcW w:w="0" w:type="auto"/>
                  <w:vAlign w:val="center"/>
                  <w:hideMark/>
                </w:tcPr>
                <w:p w:rsidR="00DF4259" w:rsidRPr="00DF4259" w:rsidRDefault="00DF4259" w:rsidP="00DF4259">
                  <w:pPr>
                    <w:widowControl/>
                    <w:autoSpaceDE/>
                    <w:autoSpaceDN/>
                    <w:adjustRightInd/>
                    <w:spacing w:after="0" w:line="255" w:lineRule="atLeast"/>
                    <w:textAlignment w:val="auto"/>
                    <w:rPr>
                      <w:rFonts w:ascii="Verdana" w:hAnsi="Verdana" w:cs="Times New Roman"/>
                      <w:color w:val="auto"/>
                      <w:sz w:val="18"/>
                      <w:szCs w:val="18"/>
                    </w:rPr>
                  </w:pPr>
                  <w:r w:rsidRPr="00DF4259">
                    <w:rPr>
                      <w:rFonts w:ascii="Verdana" w:hAnsi="Verdana" w:cs="Times New Roman"/>
                      <w:b/>
                      <w:bCs/>
                      <w:color w:val="auto"/>
                      <w:sz w:val="18"/>
                      <w:szCs w:val="18"/>
                    </w:rPr>
                    <w:t>Health Plan Terms to Know</w:t>
                  </w:r>
                </w:p>
              </w:tc>
            </w:tr>
          </w:tbl>
          <w:p w:rsidR="00DF4259" w:rsidRPr="00DF4259" w:rsidRDefault="00DF4259" w:rsidP="00DF4259">
            <w:pPr>
              <w:widowControl/>
              <w:autoSpaceDE/>
              <w:autoSpaceDN/>
              <w:adjustRightInd/>
              <w:spacing w:after="0" w:line="240" w:lineRule="auto"/>
              <w:textAlignment w:val="auto"/>
              <w:rPr>
                <w:rFonts w:ascii="Verdana" w:hAnsi="Verdana" w:cs="Times New Roman"/>
                <w:color w:val="auto"/>
                <w:sz w:val="24"/>
                <w:szCs w:val="24"/>
              </w:rPr>
            </w:pPr>
          </w:p>
        </w:tc>
      </w:tr>
      <w:tr w:rsidR="00DF4259" w:rsidRPr="00DF4259">
        <w:trPr>
          <w:tblCellSpacing w:w="0" w:type="dxa"/>
        </w:trPr>
        <w:tc>
          <w:tcPr>
            <w:tcW w:w="0" w:type="auto"/>
            <w:shd w:val="clear" w:color="auto" w:fill="666666"/>
            <w:vAlign w:val="center"/>
            <w:hideMark/>
          </w:tcPr>
          <w:tbl>
            <w:tblPr>
              <w:tblW w:w="5000" w:type="pct"/>
              <w:tblCellSpacing w:w="7" w:type="dxa"/>
              <w:shd w:val="clear" w:color="auto" w:fill="666666"/>
              <w:tblCellMar>
                <w:top w:w="45" w:type="dxa"/>
                <w:left w:w="45" w:type="dxa"/>
                <w:bottom w:w="45" w:type="dxa"/>
                <w:right w:w="45" w:type="dxa"/>
              </w:tblCellMar>
              <w:tblLook w:val="04A0" w:firstRow="1" w:lastRow="0" w:firstColumn="1" w:lastColumn="0" w:noHBand="0" w:noVBand="1"/>
            </w:tblPr>
            <w:tblGrid>
              <w:gridCol w:w="9930"/>
            </w:tblGrid>
            <w:tr w:rsidR="00DF4259" w:rsidRPr="00DF4259">
              <w:trPr>
                <w:tblCellSpacing w:w="7" w:type="dxa"/>
              </w:trPr>
              <w:tc>
                <w:tcPr>
                  <w:tcW w:w="0" w:type="auto"/>
                  <w:shd w:val="clear" w:color="auto" w:fill="FFFFFF"/>
                  <w:hideMark/>
                </w:tcPr>
                <w:p w:rsidR="00DF4259" w:rsidRPr="00DF4259" w:rsidRDefault="00DF4259" w:rsidP="00DF4259">
                  <w:pPr>
                    <w:widowControl/>
                    <w:autoSpaceDE/>
                    <w:autoSpaceDN/>
                    <w:adjustRightInd/>
                    <w:spacing w:after="135" w:line="255" w:lineRule="atLeast"/>
                    <w:textAlignment w:val="auto"/>
                    <w:rPr>
                      <w:rFonts w:ascii="Verdana" w:hAnsi="Verdana" w:cs="Times New Roman"/>
                      <w:color w:val="auto"/>
                      <w:sz w:val="18"/>
                      <w:szCs w:val="18"/>
                    </w:rPr>
                  </w:pPr>
                  <w:r w:rsidRPr="00DF4259">
                    <w:rPr>
                      <w:rFonts w:ascii="Verdana" w:hAnsi="Verdana" w:cs="Times New Roman"/>
                      <w:b/>
                      <w:bCs/>
                      <w:color w:val="auto"/>
                      <w:sz w:val="18"/>
                      <w:szCs w:val="18"/>
                    </w:rPr>
                    <w:t xml:space="preserve">Co-payment: </w:t>
                  </w:r>
                  <w:r w:rsidRPr="00DF4259">
                    <w:rPr>
                      <w:rFonts w:ascii="Verdana" w:hAnsi="Verdana" w:cs="Times New Roman"/>
                      <w:color w:val="auto"/>
                      <w:sz w:val="18"/>
                      <w:szCs w:val="18"/>
                    </w:rPr>
                    <w:t>A fixed amount that you pay for certain health services before the health plan pays</w:t>
                  </w:r>
                </w:p>
                <w:p w:rsidR="00DF4259" w:rsidRPr="00DF4259" w:rsidRDefault="00DF4259" w:rsidP="00DF4259">
                  <w:pPr>
                    <w:widowControl/>
                    <w:autoSpaceDE/>
                    <w:autoSpaceDN/>
                    <w:adjustRightInd/>
                    <w:spacing w:after="135" w:line="255" w:lineRule="atLeast"/>
                    <w:textAlignment w:val="auto"/>
                    <w:rPr>
                      <w:rFonts w:ascii="Verdana" w:hAnsi="Verdana" w:cs="Times New Roman"/>
                      <w:color w:val="auto"/>
                      <w:sz w:val="18"/>
                      <w:szCs w:val="18"/>
                    </w:rPr>
                  </w:pPr>
                  <w:r w:rsidRPr="00DF4259">
                    <w:rPr>
                      <w:rFonts w:ascii="Verdana" w:hAnsi="Verdana" w:cs="Times New Roman"/>
                      <w:b/>
                      <w:bCs/>
                      <w:color w:val="auto"/>
                      <w:sz w:val="18"/>
                      <w:szCs w:val="18"/>
                    </w:rPr>
                    <w:t xml:space="preserve">Coinsurance: </w:t>
                  </w:r>
                  <w:r w:rsidRPr="00DF4259">
                    <w:rPr>
                      <w:rFonts w:ascii="Verdana" w:hAnsi="Verdana" w:cs="Times New Roman"/>
                      <w:color w:val="auto"/>
                      <w:sz w:val="18"/>
                      <w:szCs w:val="18"/>
                    </w:rPr>
                    <w:t>The portion of the charge that is not paid by the health plan (usually a fixed percent of each amount paid by the plan)</w:t>
                  </w:r>
                </w:p>
                <w:p w:rsidR="00DF4259" w:rsidRPr="00DF4259" w:rsidRDefault="00DF4259" w:rsidP="00DF4259">
                  <w:pPr>
                    <w:widowControl/>
                    <w:autoSpaceDE/>
                    <w:autoSpaceDN/>
                    <w:adjustRightInd/>
                    <w:spacing w:after="135" w:line="255" w:lineRule="atLeast"/>
                    <w:textAlignment w:val="auto"/>
                    <w:rPr>
                      <w:rFonts w:ascii="Verdana" w:hAnsi="Verdana" w:cs="Times New Roman"/>
                      <w:color w:val="auto"/>
                      <w:sz w:val="18"/>
                      <w:szCs w:val="18"/>
                    </w:rPr>
                  </w:pPr>
                  <w:r w:rsidRPr="00DF4259">
                    <w:rPr>
                      <w:rFonts w:ascii="Verdana" w:hAnsi="Verdana" w:cs="Times New Roman"/>
                      <w:b/>
                      <w:bCs/>
                      <w:color w:val="auto"/>
                      <w:sz w:val="18"/>
                      <w:szCs w:val="18"/>
                    </w:rPr>
                    <w:t xml:space="preserve">Deductible: </w:t>
                  </w:r>
                  <w:r w:rsidRPr="00DF4259">
                    <w:rPr>
                      <w:rFonts w:ascii="Verdana" w:hAnsi="Verdana" w:cs="Times New Roman"/>
                      <w:color w:val="auto"/>
                      <w:sz w:val="18"/>
                      <w:szCs w:val="18"/>
                    </w:rPr>
                    <w:t>An amount that must be paid before the health plan pays for covered services</w:t>
                  </w:r>
                </w:p>
              </w:tc>
            </w:tr>
          </w:tbl>
          <w:p w:rsidR="00DF4259" w:rsidRPr="00DF4259" w:rsidRDefault="00DF4259" w:rsidP="00DF4259">
            <w:pPr>
              <w:widowControl/>
              <w:autoSpaceDE/>
              <w:autoSpaceDN/>
              <w:adjustRightInd/>
              <w:spacing w:after="0" w:line="240" w:lineRule="auto"/>
              <w:textAlignment w:val="auto"/>
              <w:rPr>
                <w:rFonts w:ascii="Verdana" w:hAnsi="Verdana" w:cs="Times New Roman"/>
                <w:color w:val="auto"/>
                <w:sz w:val="24"/>
                <w:szCs w:val="24"/>
              </w:rPr>
            </w:pPr>
          </w:p>
        </w:tc>
      </w:tr>
    </w:tbl>
    <w:p w:rsidR="00DF4259" w:rsidRPr="00DF4259" w:rsidRDefault="00DF4259" w:rsidP="00DF4259">
      <w:pPr>
        <w:widowControl/>
        <w:autoSpaceDE/>
        <w:autoSpaceDN/>
        <w:adjustRightInd/>
        <w:spacing w:after="0" w:line="240" w:lineRule="auto"/>
        <w:textAlignment w:val="auto"/>
        <w:rPr>
          <w:rFonts w:ascii="Verdana" w:hAnsi="Verdana" w:cs="Times New Roman"/>
          <w:color w:val="auto"/>
          <w:sz w:val="24"/>
          <w:szCs w:val="24"/>
        </w:rPr>
      </w:pPr>
    </w:p>
    <w:p w:rsidR="00DF4259" w:rsidRPr="00DF4259" w:rsidRDefault="00DF4259" w:rsidP="00DF4259">
      <w:pPr>
        <w:widowControl/>
        <w:numPr>
          <w:ilvl w:val="0"/>
          <w:numId w:val="2"/>
        </w:numPr>
        <w:tabs>
          <w:tab w:val="clear" w:pos="720"/>
        </w:tabs>
        <w:autoSpaceDE/>
        <w:autoSpaceDN/>
        <w:adjustRightInd/>
        <w:spacing w:after="210" w:line="285" w:lineRule="atLeast"/>
        <w:ind w:left="0" w:firstLine="0"/>
        <w:textAlignment w:val="auto"/>
        <w:rPr>
          <w:rFonts w:ascii="Verdana" w:hAnsi="Verdana" w:cs="Times New Roman"/>
          <w:sz w:val="20"/>
          <w:szCs w:val="20"/>
        </w:rPr>
      </w:pPr>
      <w:r w:rsidRPr="00DF4259">
        <w:rPr>
          <w:rFonts w:ascii="Verdana" w:hAnsi="Verdana" w:cs="Times New Roman"/>
          <w:sz w:val="20"/>
          <w:szCs w:val="20"/>
        </w:rPr>
        <w:t xml:space="preserve">There may also be times when a child needs a service that is not considered preventive on the same day as a well-child visit. If a child is not well or a problem is found or needs to be addressed during the checkup, the physician may need to provide an additional office visit service (called a </w:t>
      </w:r>
      <w:r w:rsidRPr="00DF4259">
        <w:rPr>
          <w:rFonts w:ascii="Verdana" w:hAnsi="Verdana" w:cs="Times New Roman"/>
          <w:i/>
          <w:iCs/>
          <w:sz w:val="20"/>
          <w:szCs w:val="20"/>
        </w:rPr>
        <w:t xml:space="preserve">sick visit) </w:t>
      </w:r>
      <w:r w:rsidRPr="00DF4259">
        <w:rPr>
          <w:rFonts w:ascii="Verdana" w:hAnsi="Verdana" w:cs="Times New Roman"/>
          <w:sz w:val="20"/>
          <w:szCs w:val="20"/>
        </w:rPr>
        <w:t>to care for the child. This is a different service and is billed to your health plan in addition to the preventive services provided on that day. If you have a co-payment for office visits or coinsurance or deductible amounts that you must pay before your health plan pays for these services, our office will charge you these amounts.</w:t>
      </w:r>
    </w:p>
    <w:p w:rsidR="00DF4259" w:rsidRPr="00DF4259" w:rsidRDefault="00DF4259" w:rsidP="00DF4259">
      <w:pPr>
        <w:widowControl/>
        <w:numPr>
          <w:ilvl w:val="0"/>
          <w:numId w:val="2"/>
        </w:numPr>
        <w:tabs>
          <w:tab w:val="clear" w:pos="720"/>
        </w:tabs>
        <w:autoSpaceDE/>
        <w:autoSpaceDN/>
        <w:adjustRightInd/>
        <w:spacing w:after="210" w:line="285" w:lineRule="atLeast"/>
        <w:ind w:left="0" w:firstLine="0"/>
        <w:textAlignment w:val="auto"/>
        <w:rPr>
          <w:rFonts w:ascii="Verdana" w:hAnsi="Verdana" w:cs="Times New Roman"/>
          <w:sz w:val="20"/>
          <w:szCs w:val="20"/>
        </w:rPr>
      </w:pPr>
      <w:r w:rsidRPr="00DF4259">
        <w:rPr>
          <w:rFonts w:ascii="Verdana" w:hAnsi="Verdana" w:cs="Times New Roman"/>
          <w:sz w:val="20"/>
          <w:szCs w:val="20"/>
        </w:rPr>
        <w:t>We value your time and want to make the most of each appointment for the child. This is why we will address any problem that needs a doctor's care during well-child visits so that only one trip is needed. Some services that may be provided and billed in addition to preventive services include</w:t>
      </w:r>
    </w:p>
    <w:p w:rsidR="00DF4259" w:rsidRPr="00DF4259" w:rsidRDefault="00DF4259" w:rsidP="00DF4259">
      <w:pPr>
        <w:widowControl/>
        <w:numPr>
          <w:ilvl w:val="0"/>
          <w:numId w:val="2"/>
        </w:numPr>
        <w:autoSpaceDE/>
        <w:autoSpaceDN/>
        <w:adjustRightInd/>
        <w:spacing w:after="135" w:line="255" w:lineRule="atLeast"/>
        <w:ind w:right="90"/>
        <w:textAlignment w:val="auto"/>
        <w:rPr>
          <w:rFonts w:ascii="Verdana" w:hAnsi="Verdana" w:cs="Times New Roman"/>
          <w:color w:val="auto"/>
          <w:sz w:val="18"/>
          <w:szCs w:val="18"/>
        </w:rPr>
      </w:pPr>
      <w:r w:rsidRPr="00DF4259">
        <w:rPr>
          <w:rFonts w:ascii="Verdana" w:hAnsi="Verdana" w:cs="Times New Roman"/>
          <w:color w:val="auto"/>
          <w:sz w:val="18"/>
          <w:szCs w:val="18"/>
        </w:rPr>
        <w:t>The doctor's work to address more than a minor problem, which will be billed as an office visit (</w:t>
      </w:r>
      <w:proofErr w:type="spellStart"/>
      <w:r w:rsidRPr="00DF4259">
        <w:rPr>
          <w:rFonts w:ascii="Verdana" w:hAnsi="Verdana" w:cs="Times New Roman"/>
          <w:color w:val="auto"/>
          <w:sz w:val="18"/>
          <w:szCs w:val="18"/>
        </w:rPr>
        <w:t>eg</w:t>
      </w:r>
      <w:proofErr w:type="spellEnd"/>
      <w:r w:rsidRPr="00DF4259">
        <w:rPr>
          <w:rFonts w:ascii="Verdana" w:hAnsi="Verdana" w:cs="Times New Roman"/>
          <w:color w:val="auto"/>
          <w:sz w:val="18"/>
          <w:szCs w:val="18"/>
        </w:rPr>
        <w:t>, if the doctor gives a prescription, orders tests, or changes care for a known problem)</w:t>
      </w:r>
    </w:p>
    <w:p w:rsidR="00DF4259" w:rsidRPr="00DF4259" w:rsidRDefault="00DF4259" w:rsidP="00DF4259">
      <w:pPr>
        <w:widowControl/>
        <w:numPr>
          <w:ilvl w:val="0"/>
          <w:numId w:val="2"/>
        </w:numPr>
        <w:autoSpaceDE/>
        <w:autoSpaceDN/>
        <w:adjustRightInd/>
        <w:spacing w:after="135" w:line="255" w:lineRule="atLeast"/>
        <w:ind w:right="90"/>
        <w:textAlignment w:val="auto"/>
        <w:rPr>
          <w:rFonts w:ascii="Verdana" w:hAnsi="Verdana" w:cs="Times New Roman"/>
          <w:color w:val="auto"/>
          <w:sz w:val="18"/>
          <w:szCs w:val="18"/>
        </w:rPr>
      </w:pPr>
      <w:r w:rsidRPr="00DF4259">
        <w:rPr>
          <w:rFonts w:ascii="Verdana" w:hAnsi="Verdana" w:cs="Times New Roman"/>
          <w:color w:val="auto"/>
          <w:sz w:val="18"/>
          <w:szCs w:val="18"/>
        </w:rPr>
        <w:t>Medical treatments (</w:t>
      </w:r>
      <w:proofErr w:type="spellStart"/>
      <w:r w:rsidRPr="00DF4259">
        <w:rPr>
          <w:rFonts w:ascii="Verdana" w:hAnsi="Verdana" w:cs="Times New Roman"/>
          <w:color w:val="auto"/>
          <w:sz w:val="18"/>
          <w:szCs w:val="18"/>
        </w:rPr>
        <w:t>eg</w:t>
      </w:r>
      <w:proofErr w:type="spellEnd"/>
      <w:r w:rsidRPr="00DF4259">
        <w:rPr>
          <w:rFonts w:ascii="Verdana" w:hAnsi="Verdana" w:cs="Times New Roman"/>
          <w:color w:val="auto"/>
          <w:sz w:val="18"/>
          <w:szCs w:val="18"/>
        </w:rPr>
        <w:t>, breathing treatments)</w:t>
      </w:r>
    </w:p>
    <w:p w:rsidR="00DF4259" w:rsidRPr="00DF4259" w:rsidRDefault="00DF4259" w:rsidP="00DF4259">
      <w:pPr>
        <w:widowControl/>
        <w:numPr>
          <w:ilvl w:val="0"/>
          <w:numId w:val="2"/>
        </w:numPr>
        <w:autoSpaceDE/>
        <w:autoSpaceDN/>
        <w:adjustRightInd/>
        <w:spacing w:after="135" w:line="255" w:lineRule="atLeast"/>
        <w:ind w:right="90"/>
        <w:textAlignment w:val="auto"/>
        <w:rPr>
          <w:rFonts w:ascii="Verdana" w:hAnsi="Verdana" w:cs="Times New Roman"/>
          <w:color w:val="auto"/>
          <w:sz w:val="18"/>
          <w:szCs w:val="18"/>
        </w:rPr>
      </w:pPr>
      <w:r w:rsidRPr="00DF4259">
        <w:rPr>
          <w:rFonts w:ascii="Verdana" w:hAnsi="Verdana" w:cs="Times New Roman"/>
          <w:color w:val="auto"/>
          <w:sz w:val="18"/>
          <w:szCs w:val="18"/>
        </w:rPr>
        <w:t>Any surgery (</w:t>
      </w:r>
      <w:proofErr w:type="spellStart"/>
      <w:r w:rsidRPr="00DF4259">
        <w:rPr>
          <w:rFonts w:ascii="Verdana" w:hAnsi="Verdana" w:cs="Times New Roman"/>
          <w:color w:val="auto"/>
          <w:sz w:val="18"/>
          <w:szCs w:val="18"/>
        </w:rPr>
        <w:t>eg</w:t>
      </w:r>
      <w:proofErr w:type="spellEnd"/>
      <w:r w:rsidRPr="00DF4259">
        <w:rPr>
          <w:rFonts w:ascii="Verdana" w:hAnsi="Verdana" w:cs="Times New Roman"/>
          <w:color w:val="auto"/>
          <w:sz w:val="18"/>
          <w:szCs w:val="18"/>
        </w:rPr>
        <w:t>, removing splinters or something the child put in his or her nose or ear)</w:t>
      </w:r>
    </w:p>
    <w:p w:rsidR="00DF4259" w:rsidRPr="00DF4259" w:rsidRDefault="00DF4259" w:rsidP="00DF4259">
      <w:pPr>
        <w:widowControl/>
        <w:numPr>
          <w:ilvl w:val="0"/>
          <w:numId w:val="2"/>
        </w:numPr>
        <w:autoSpaceDE/>
        <w:autoSpaceDN/>
        <w:adjustRightInd/>
        <w:spacing w:after="135" w:line="255" w:lineRule="atLeast"/>
        <w:ind w:right="90"/>
        <w:textAlignment w:val="auto"/>
        <w:rPr>
          <w:rFonts w:ascii="Verdana" w:hAnsi="Verdana" w:cs="Times New Roman"/>
          <w:color w:val="auto"/>
          <w:sz w:val="18"/>
          <w:szCs w:val="18"/>
        </w:rPr>
      </w:pPr>
      <w:r w:rsidRPr="00DF4259">
        <w:rPr>
          <w:rFonts w:ascii="Verdana" w:hAnsi="Verdana" w:cs="Times New Roman"/>
          <w:color w:val="auto"/>
          <w:sz w:val="18"/>
          <w:szCs w:val="18"/>
        </w:rPr>
        <w:t>Tests performed in the office that are not included in the Bright Futures plan</w:t>
      </w:r>
    </w:p>
    <w:p w:rsidR="00DF4259" w:rsidRPr="00DF4259" w:rsidRDefault="00DF4259" w:rsidP="00DF4259">
      <w:pPr>
        <w:widowControl/>
        <w:numPr>
          <w:ilvl w:val="0"/>
          <w:numId w:val="2"/>
        </w:numPr>
        <w:tabs>
          <w:tab w:val="clear" w:pos="720"/>
        </w:tabs>
        <w:autoSpaceDE/>
        <w:autoSpaceDN/>
        <w:adjustRightInd/>
        <w:spacing w:after="210" w:line="285" w:lineRule="atLeast"/>
        <w:ind w:left="0" w:firstLine="0"/>
        <w:textAlignment w:val="auto"/>
        <w:rPr>
          <w:rFonts w:ascii="Verdana" w:hAnsi="Verdana" w:cs="Times New Roman"/>
          <w:sz w:val="20"/>
          <w:szCs w:val="20"/>
        </w:rPr>
      </w:pPr>
      <w:r w:rsidRPr="00DF4259">
        <w:rPr>
          <w:rFonts w:ascii="Verdana" w:hAnsi="Verdana" w:cs="Times New Roman"/>
          <w:sz w:val="20"/>
          <w:szCs w:val="20"/>
        </w:rPr>
        <w:t>Our office does not want you to be surprised by a bill but must always bill your health plan based on the actual services provided. Please feel free to ask questions about services that may not be paid in full by your health plan on the day of your visit. It is our pleasure to help.</w:t>
      </w:r>
    </w:p>
    <w:p w:rsidR="00965100" w:rsidRDefault="00965100"/>
    <w:p w:rsidR="009E52FA" w:rsidRDefault="00965100">
      <w:bookmarkStart w:id="0" w:name="_GoBack"/>
      <w:bookmarkEnd w:id="0"/>
      <w:r>
        <w:t>[INSERT SALUTATION OR LEAVE OUT]</w:t>
      </w:r>
    </w:p>
    <w:sectPr w:rsidR="009E52FA" w:rsidSect="00DF4259">
      <w:pgSz w:w="12240" w:h="15840"/>
      <w:pgMar w:top="630" w:right="90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nsid w:val="3B207817"/>
    <w:multiLevelType w:val="multilevel"/>
    <w:tmpl w:val="BB8CA11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86A4336"/>
    <w:multiLevelType w:val="hybridMultilevel"/>
    <w:tmpl w:val="2AFA2BAC"/>
    <w:lvl w:ilvl="0" w:tplc="BAC0E768">
      <w:start w:val="1"/>
      <w:numFmt w:val="bullet"/>
      <w:pStyle w:val="ListParagraph"/>
      <w:lvlText w:val=""/>
      <w:lvlJc w:val="left"/>
      <w:pPr>
        <w:ind w:left="36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259"/>
    <w:rsid w:val="00965100"/>
    <w:rsid w:val="009E52FA"/>
    <w:rsid w:val="00B15016"/>
    <w:rsid w:val="00BB7BB7"/>
    <w:rsid w:val="00BF07C7"/>
    <w:rsid w:val="00BF1A23"/>
    <w:rsid w:val="00DF4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E52FA"/>
    <w:pPr>
      <w:widowControl w:val="0"/>
      <w:autoSpaceDE w:val="0"/>
      <w:autoSpaceDN w:val="0"/>
      <w:adjustRightInd w:val="0"/>
      <w:spacing w:after="200" w:line="276" w:lineRule="auto"/>
      <w:textAlignment w:val="center"/>
    </w:pPr>
    <w:rPr>
      <w:rFonts w:ascii="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TableCredit">
    <w:name w:val="AAP Table Credit"/>
    <w:basedOn w:val="Normal"/>
    <w:qFormat/>
    <w:rsid w:val="009E52FA"/>
    <w:rPr>
      <w:b/>
      <w:bCs/>
      <w:sz w:val="16"/>
    </w:rPr>
  </w:style>
  <w:style w:type="paragraph" w:styleId="ListParagraph">
    <w:name w:val="List Paragraph"/>
    <w:basedOn w:val="Normal"/>
    <w:uiPriority w:val="99"/>
    <w:qFormat/>
    <w:rsid w:val="009E52FA"/>
    <w:pPr>
      <w:numPr>
        <w:numId w:val="1"/>
      </w:numPr>
      <w:spacing w:after="0" w:line="480" w:lineRule="auto"/>
    </w:pPr>
    <w:rPr>
      <w:rFonts w:ascii="Times" w:hAnsi="Times" w:cs="MinionPro-Regula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E52FA"/>
    <w:pPr>
      <w:widowControl w:val="0"/>
      <w:autoSpaceDE w:val="0"/>
      <w:autoSpaceDN w:val="0"/>
      <w:adjustRightInd w:val="0"/>
      <w:spacing w:after="200" w:line="276" w:lineRule="auto"/>
      <w:textAlignment w:val="center"/>
    </w:pPr>
    <w:rPr>
      <w:rFonts w:ascii="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TableCredit">
    <w:name w:val="AAP Table Credit"/>
    <w:basedOn w:val="Normal"/>
    <w:qFormat/>
    <w:rsid w:val="009E52FA"/>
    <w:rPr>
      <w:b/>
      <w:bCs/>
      <w:sz w:val="16"/>
    </w:rPr>
  </w:style>
  <w:style w:type="paragraph" w:styleId="ListParagraph">
    <w:name w:val="List Paragraph"/>
    <w:basedOn w:val="Normal"/>
    <w:uiPriority w:val="99"/>
    <w:qFormat/>
    <w:rsid w:val="009E52FA"/>
    <w:pPr>
      <w:numPr>
        <w:numId w:val="1"/>
      </w:numPr>
      <w:spacing w:after="0" w:line="480" w:lineRule="auto"/>
    </w:pPr>
    <w:rPr>
      <w:rFonts w:ascii="Times" w:hAnsi="Times" w:cs="MinionPro-Regula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Dolan, Becky</dc:creator>
  <cp:lastModifiedBy>Dolan, Becky</cp:lastModifiedBy>
  <cp:revision>1</cp:revision>
  <dcterms:created xsi:type="dcterms:W3CDTF">2014-05-23T13:49:00Z</dcterms:created>
  <dcterms:modified xsi:type="dcterms:W3CDTF">2014-05-23T15:43:00Z</dcterms:modified>
</cp:coreProperties>
</file>