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55"/>
        <w:gridCol w:w="4495"/>
      </w:tblGrid>
      <w:tr w:rsidR="00E853C1" w:rsidRPr="00E853C1" w14:paraId="1D6AF58A" w14:textId="77777777" w:rsidTr="007D5DE0">
        <w:tc>
          <w:tcPr>
            <w:tcW w:w="9350" w:type="dxa"/>
            <w:gridSpan w:val="2"/>
            <w:shd w:val="clear" w:color="auto" w:fill="E7E6E6" w:themeFill="background2"/>
          </w:tcPr>
          <w:p w14:paraId="22F1482F" w14:textId="453AA0F3" w:rsidR="00E853C1" w:rsidRPr="007D5DE0" w:rsidRDefault="00E853C1" w:rsidP="007D5DE0">
            <w:pPr>
              <w:rPr>
                <w:b/>
                <w:bCs/>
              </w:rPr>
            </w:pPr>
            <w:r w:rsidRPr="007D5DE0">
              <w:rPr>
                <w:b/>
                <w:bCs/>
              </w:rPr>
              <w:t>Screening Laboratory Tests and Codes</w:t>
            </w:r>
          </w:p>
        </w:tc>
      </w:tr>
      <w:tr w:rsidR="00E853C1" w:rsidRPr="00E853C1" w14:paraId="462F64B7" w14:textId="77777777" w:rsidTr="00F42C1B">
        <w:tc>
          <w:tcPr>
            <w:tcW w:w="9350" w:type="dxa"/>
            <w:gridSpan w:val="2"/>
          </w:tcPr>
          <w:p w14:paraId="2B5A6708" w14:textId="3DE66630" w:rsidR="00E853C1" w:rsidRPr="00E853C1" w:rsidRDefault="00E853C1" w:rsidP="00F42C1B">
            <w:pPr>
              <w:pStyle w:val="AAPTableSubhead"/>
              <w:rPr>
                <w:rStyle w:val="AAPTableSubheaditalic"/>
                <w:rFonts w:asciiTheme="minorHAnsi" w:hAnsiTheme="minorHAnsi" w:cstheme="minorHAnsi"/>
                <w:sz w:val="22"/>
              </w:rPr>
            </w:pPr>
            <w:r w:rsidRPr="00E853C1">
              <w:rPr>
                <w:rStyle w:val="AAPTableSubheaditalic"/>
                <w:rFonts w:asciiTheme="minorHAnsi" w:hAnsiTheme="minorHAnsi" w:cstheme="minorHAnsi"/>
                <w:sz w:val="22"/>
              </w:rPr>
              <w:t xml:space="preserve">Modifier </w:t>
            </w:r>
            <w:r w:rsidRPr="00330680">
              <w:rPr>
                <w:rStyle w:val="AAPTableSubheaditalic"/>
                <w:rFonts w:asciiTheme="minorHAnsi" w:hAnsiTheme="minorHAnsi" w:cstheme="minorHAnsi"/>
                <w:b/>
                <w:bCs/>
                <w:sz w:val="22"/>
              </w:rPr>
              <w:t>QW</w:t>
            </w:r>
            <w:r w:rsidRPr="00E853C1">
              <w:rPr>
                <w:rStyle w:val="AAPTableSubheaditalic"/>
                <w:rFonts w:asciiTheme="minorHAnsi" w:hAnsiTheme="minorHAnsi" w:cstheme="minorHAnsi"/>
                <w:sz w:val="22"/>
              </w:rPr>
              <w:t xml:space="preserve"> indicates a waived test under the Clinical Laboratory Improvement Amendments. Tests without </w:t>
            </w:r>
            <w:r w:rsidRPr="00330680">
              <w:rPr>
                <w:rStyle w:val="AAPTableSubheaditalic"/>
                <w:rFonts w:asciiTheme="minorHAnsi" w:hAnsiTheme="minorHAnsi" w:cstheme="minorHAnsi"/>
                <w:b/>
                <w:bCs/>
                <w:sz w:val="22"/>
              </w:rPr>
              <w:t>QW</w:t>
            </w:r>
            <w:r w:rsidRPr="00E853C1">
              <w:rPr>
                <w:rStyle w:val="AAPTableSubheaditalic"/>
                <w:rFonts w:asciiTheme="minorHAnsi" w:hAnsiTheme="minorHAnsi" w:cstheme="minorHAnsi"/>
                <w:sz w:val="22"/>
              </w:rPr>
              <w:t xml:space="preserve"> indicate higher complexity tests.</w:t>
            </w:r>
          </w:p>
        </w:tc>
      </w:tr>
      <w:tr w:rsidR="00E853C1" w:rsidRPr="00E853C1" w14:paraId="2B5D36D4" w14:textId="77777777" w:rsidTr="00F42C1B">
        <w:tc>
          <w:tcPr>
            <w:tcW w:w="4855" w:type="dxa"/>
          </w:tcPr>
          <w:p w14:paraId="23378CE9" w14:textId="77777777" w:rsidR="00E853C1" w:rsidRPr="00E853C1" w:rsidRDefault="00E853C1" w:rsidP="00F42C1B">
            <w:pPr>
              <w:pStyle w:val="AAPTableColumnHd"/>
              <w:rPr>
                <w:rStyle w:val="AAPTableColumnHead"/>
                <w:sz w:val="22"/>
                <w:szCs w:val="22"/>
              </w:rPr>
            </w:pPr>
            <w:r w:rsidRPr="00E853C1">
              <w:rPr>
                <w:rStyle w:val="AAPTableColumnHead"/>
                <w:sz w:val="22"/>
                <w:szCs w:val="22"/>
              </w:rPr>
              <w:t>Indication/ICD-10-CM Code</w:t>
            </w:r>
          </w:p>
        </w:tc>
        <w:tc>
          <w:tcPr>
            <w:tcW w:w="4495" w:type="dxa"/>
          </w:tcPr>
          <w:p w14:paraId="2525849D" w14:textId="77777777" w:rsidR="00E853C1" w:rsidRPr="00E853C1" w:rsidRDefault="00E853C1" w:rsidP="00F42C1B">
            <w:pPr>
              <w:pStyle w:val="AAPTableColumnHd"/>
              <w:rPr>
                <w:rStyle w:val="AAPTableColumnHead"/>
                <w:sz w:val="22"/>
                <w:szCs w:val="22"/>
              </w:rPr>
            </w:pPr>
            <w:r w:rsidRPr="00E853C1">
              <w:rPr>
                <w:rStyle w:val="AAPTableColumnHead"/>
                <w:sz w:val="22"/>
                <w:szCs w:val="22"/>
              </w:rPr>
              <w:t>Procedure Code</w:t>
            </w:r>
          </w:p>
        </w:tc>
      </w:tr>
      <w:tr w:rsidR="00E853C1" w:rsidRPr="00E853C1" w14:paraId="3EBB5E9B" w14:textId="77777777" w:rsidTr="00F42C1B">
        <w:tc>
          <w:tcPr>
            <w:tcW w:w="4855" w:type="dxa"/>
          </w:tcPr>
          <w:p w14:paraId="4099B298" w14:textId="497DA9A7" w:rsidR="00E853C1" w:rsidRPr="00E853C1" w:rsidRDefault="00E853C1" w:rsidP="00E853C1">
            <w:pPr>
              <w:pStyle w:val="AAPTableText"/>
              <w:rPr>
                <w:sz w:val="22"/>
                <w:szCs w:val="22"/>
              </w:rPr>
            </w:pPr>
            <w:r w:rsidRPr="00E853C1">
              <w:rPr>
                <w:rStyle w:val="AAPTableBodybold"/>
                <w:sz w:val="22"/>
                <w:szCs w:val="22"/>
              </w:rPr>
              <w:t>Anemia</w:t>
            </w:r>
            <w:r>
              <w:rPr>
                <w:rStyle w:val="AAPTableBodybold"/>
                <w:sz w:val="22"/>
                <w:szCs w:val="22"/>
              </w:rPr>
              <w:t xml:space="preserve">: </w:t>
            </w:r>
            <w:r w:rsidRPr="007D5DE0">
              <w:rPr>
                <w:b/>
                <w:bCs/>
              </w:rPr>
              <w:t xml:space="preserve">Z13.0 </w:t>
            </w:r>
            <w:r w:rsidRPr="00E853C1">
              <w:rPr>
                <w:sz w:val="22"/>
                <w:szCs w:val="22"/>
              </w:rPr>
              <w:t>(screening for diseases of the blood and blood-forming organs and certain disorders involving the immune mechanism)</w:t>
            </w:r>
          </w:p>
        </w:tc>
        <w:tc>
          <w:tcPr>
            <w:tcW w:w="4495" w:type="dxa"/>
          </w:tcPr>
          <w:p w14:paraId="636542AA" w14:textId="77777777" w:rsidR="00E853C1" w:rsidRPr="00E853C1" w:rsidRDefault="00E853C1" w:rsidP="00F42C1B">
            <w:pPr>
              <w:pStyle w:val="AAPTableText"/>
              <w:rPr>
                <w:sz w:val="22"/>
                <w:szCs w:val="22"/>
              </w:rPr>
            </w:pPr>
            <w:r w:rsidRPr="007D5DE0">
              <w:rPr>
                <w:b/>
                <w:bCs/>
              </w:rPr>
              <w:t>85018 QW</w:t>
            </w:r>
            <w:r w:rsidRPr="00E853C1">
              <w:rPr>
                <w:sz w:val="22"/>
                <w:szCs w:val="22"/>
              </w:rPr>
              <w:t xml:space="preserve"> (blood count; hemoglobin)</w:t>
            </w:r>
          </w:p>
        </w:tc>
      </w:tr>
      <w:tr w:rsidR="00871791" w:rsidRPr="00E853C1" w14:paraId="11BD6C66" w14:textId="77777777" w:rsidTr="00871791">
        <w:tc>
          <w:tcPr>
            <w:tcW w:w="4855" w:type="dxa"/>
          </w:tcPr>
          <w:p w14:paraId="7AB068B4" w14:textId="77777777" w:rsidR="00871791" w:rsidRPr="00E853C1" w:rsidRDefault="00871791" w:rsidP="00F43E94">
            <w:pPr>
              <w:pStyle w:val="AAPTableText"/>
              <w:rPr>
                <w:sz w:val="22"/>
                <w:szCs w:val="22"/>
              </w:rPr>
            </w:pPr>
            <w:r w:rsidRPr="00E853C1">
              <w:rPr>
                <w:rStyle w:val="AAPTableBodybold"/>
                <w:sz w:val="22"/>
                <w:szCs w:val="22"/>
              </w:rPr>
              <w:t>Dyslipidemia</w:t>
            </w:r>
            <w:r>
              <w:rPr>
                <w:rStyle w:val="AAPTableBodybold"/>
                <w:sz w:val="22"/>
                <w:szCs w:val="22"/>
              </w:rPr>
              <w:t xml:space="preserve">: </w:t>
            </w:r>
            <w:r w:rsidRPr="007D5DE0">
              <w:rPr>
                <w:b/>
                <w:bCs/>
              </w:rPr>
              <w:t>Z13.220</w:t>
            </w:r>
            <w:r w:rsidRPr="00E853C1">
              <w:rPr>
                <w:sz w:val="22"/>
                <w:szCs w:val="22"/>
              </w:rPr>
              <w:t xml:space="preserve"> (screening for lipoid disorders) and, when applicable, </w:t>
            </w:r>
            <w:r w:rsidRPr="007D5DE0">
              <w:rPr>
                <w:b/>
                <w:bCs/>
              </w:rPr>
              <w:t>Z83.438</w:t>
            </w:r>
            <w:r w:rsidRPr="00E853C1">
              <w:rPr>
                <w:rFonts w:cs="Calibri"/>
                <w:sz w:val="22"/>
                <w:szCs w:val="22"/>
              </w:rPr>
              <w:t xml:space="preserve"> (family history of other disorder of lipoprotein metabolism and other lipidemia)</w:t>
            </w:r>
          </w:p>
        </w:tc>
        <w:tc>
          <w:tcPr>
            <w:tcW w:w="4495" w:type="dxa"/>
          </w:tcPr>
          <w:p w14:paraId="5CADC723" w14:textId="62A0A02A" w:rsidR="00871791" w:rsidRPr="00E853C1" w:rsidRDefault="00871791" w:rsidP="00F43E94">
            <w:pPr>
              <w:pStyle w:val="AAPTableText"/>
              <w:rPr>
                <w:sz w:val="22"/>
                <w:szCs w:val="22"/>
              </w:rPr>
            </w:pPr>
            <w:r w:rsidRPr="007D5DE0">
              <w:rPr>
                <w:b/>
                <w:bCs/>
              </w:rPr>
              <w:t>80061 QW</w:t>
            </w:r>
            <w:r w:rsidRPr="00E853C1">
              <w:rPr>
                <w:rFonts w:cs="Calibri"/>
                <w:sz w:val="22"/>
                <w:szCs w:val="22"/>
              </w:rPr>
              <w:t xml:space="preserve"> Lipid panel</w:t>
            </w:r>
            <w:r w:rsidR="00285B46" w:rsidRPr="007D5DE0">
              <w:rPr>
                <w:vertAlign w:val="superscript"/>
              </w:rPr>
              <w:t>a</w:t>
            </w:r>
            <w:r w:rsidRPr="007D5DE0">
              <w:rPr>
                <w:vertAlign w:val="superscript"/>
              </w:rPr>
              <w:t xml:space="preserve"> </w:t>
            </w:r>
            <w:r w:rsidRPr="00E853C1">
              <w:rPr>
                <w:sz w:val="22"/>
                <w:szCs w:val="22"/>
              </w:rPr>
              <w:t xml:space="preserve">or </w:t>
            </w:r>
            <w:r w:rsidRPr="00087A19">
              <w:rPr>
                <w:b/>
                <w:bCs/>
              </w:rPr>
              <w:t>82465 QW</w:t>
            </w:r>
            <w:r w:rsidRPr="00E853C1">
              <w:rPr>
                <w:sz w:val="22"/>
                <w:szCs w:val="22"/>
              </w:rPr>
              <w:t xml:space="preserve"> (cholesterol, serum, total), </w:t>
            </w:r>
            <w:r w:rsidRPr="00087A19">
              <w:rPr>
                <w:b/>
                <w:bCs/>
              </w:rPr>
              <w:t>83718 QW</w:t>
            </w:r>
            <w:r w:rsidRPr="00E853C1">
              <w:rPr>
                <w:sz w:val="22"/>
                <w:szCs w:val="22"/>
              </w:rPr>
              <w:t xml:space="preserve"> (l</w:t>
            </w:r>
            <w:r w:rsidRPr="00AE706F">
              <w:rPr>
                <w:sz w:val="22"/>
                <w:szCs w:val="22"/>
              </w:rPr>
              <w:t xml:space="preserve">ipoprotein, direct measurement, high-density cholesterol </w:t>
            </w:r>
            <w:r w:rsidRPr="00E853C1">
              <w:rPr>
                <w:sz w:val="22"/>
                <w:szCs w:val="22"/>
              </w:rPr>
              <w:t>[</w:t>
            </w:r>
            <w:r w:rsidRPr="00AE706F">
              <w:rPr>
                <w:sz w:val="22"/>
                <w:szCs w:val="22"/>
              </w:rPr>
              <w:t>HDL cholesterol</w:t>
            </w:r>
            <w:r w:rsidRPr="00E853C1">
              <w:rPr>
                <w:sz w:val="22"/>
                <w:szCs w:val="22"/>
              </w:rPr>
              <w:t>]</w:t>
            </w:r>
            <w:r w:rsidRPr="00AE706F">
              <w:rPr>
                <w:sz w:val="22"/>
                <w:szCs w:val="22"/>
              </w:rPr>
              <w:t>)</w:t>
            </w:r>
            <w:r w:rsidRPr="00E853C1">
              <w:rPr>
                <w:sz w:val="22"/>
                <w:szCs w:val="22"/>
              </w:rPr>
              <w:t xml:space="preserve"> and </w:t>
            </w:r>
            <w:r w:rsidRPr="00087A19">
              <w:rPr>
                <w:b/>
                <w:bCs/>
              </w:rPr>
              <w:t>84478 QW</w:t>
            </w:r>
            <w:r w:rsidRPr="00E853C1">
              <w:rPr>
                <w:sz w:val="22"/>
                <w:szCs w:val="22"/>
              </w:rPr>
              <w:t xml:space="preserve"> (t</w:t>
            </w:r>
            <w:r w:rsidRPr="00AE706F">
              <w:rPr>
                <w:sz w:val="22"/>
                <w:szCs w:val="22"/>
              </w:rPr>
              <w:t>riglycerides</w:t>
            </w:r>
            <w:r w:rsidRPr="00E853C1">
              <w:rPr>
                <w:sz w:val="22"/>
                <w:szCs w:val="22"/>
              </w:rPr>
              <w:t>)</w:t>
            </w:r>
          </w:p>
        </w:tc>
      </w:tr>
      <w:tr w:rsidR="00E853C1" w:rsidRPr="00E853C1" w14:paraId="6BB6305E" w14:textId="77777777" w:rsidTr="00F42C1B">
        <w:tc>
          <w:tcPr>
            <w:tcW w:w="4855" w:type="dxa"/>
          </w:tcPr>
          <w:p w14:paraId="09C55430" w14:textId="74E23EC3" w:rsidR="00E853C1" w:rsidRPr="00E853C1" w:rsidRDefault="00E853C1" w:rsidP="00E853C1">
            <w:pPr>
              <w:pStyle w:val="AAPTableText"/>
              <w:rPr>
                <w:sz w:val="22"/>
                <w:szCs w:val="22"/>
              </w:rPr>
            </w:pPr>
            <w:r w:rsidRPr="00E853C1">
              <w:rPr>
                <w:rStyle w:val="AAPTableBodybold"/>
                <w:sz w:val="22"/>
                <w:szCs w:val="22"/>
              </w:rPr>
              <w:t>Lead testing</w:t>
            </w:r>
            <w:r>
              <w:rPr>
                <w:rStyle w:val="AAPTableBodybold"/>
                <w:sz w:val="22"/>
                <w:szCs w:val="22"/>
              </w:rPr>
              <w:t xml:space="preserve">: </w:t>
            </w:r>
            <w:r w:rsidRPr="00087A19">
              <w:rPr>
                <w:b/>
                <w:bCs/>
              </w:rPr>
              <w:t>Z13.88</w:t>
            </w:r>
            <w:r w:rsidRPr="00E853C1">
              <w:rPr>
                <w:rFonts w:cs="Calibri"/>
                <w:sz w:val="22"/>
                <w:szCs w:val="22"/>
              </w:rPr>
              <w:t xml:space="preserve"> (screening for disorder due to exposure to contaminants) or </w:t>
            </w:r>
            <w:r w:rsidRPr="00087A19">
              <w:rPr>
                <w:b/>
                <w:bCs/>
              </w:rPr>
              <w:t>Z77.011</w:t>
            </w:r>
            <w:r w:rsidRPr="00E853C1">
              <w:rPr>
                <w:rFonts w:cs="Calibri"/>
                <w:sz w:val="22"/>
                <w:szCs w:val="22"/>
              </w:rPr>
              <w:t xml:space="preserve"> (contact with and (suspected) exposure to lead)</w:t>
            </w:r>
          </w:p>
        </w:tc>
        <w:tc>
          <w:tcPr>
            <w:tcW w:w="4495" w:type="dxa"/>
          </w:tcPr>
          <w:p w14:paraId="723B659D" w14:textId="472D5F9F" w:rsidR="00E853C1" w:rsidRPr="00E853C1" w:rsidRDefault="00E853C1" w:rsidP="00F42C1B">
            <w:pPr>
              <w:pStyle w:val="AAPTableText"/>
              <w:rPr>
                <w:sz w:val="22"/>
                <w:szCs w:val="22"/>
              </w:rPr>
            </w:pPr>
            <w:r w:rsidRPr="00F65144">
              <w:rPr>
                <w:b/>
                <w:bCs/>
              </w:rPr>
              <w:t>83655 QW</w:t>
            </w:r>
            <w:r w:rsidRPr="00E853C1">
              <w:rPr>
                <w:sz w:val="22"/>
                <w:szCs w:val="22"/>
              </w:rPr>
              <w:t xml:space="preserve"> (lead, quantitative </w:t>
            </w:r>
            <w:proofErr w:type="gramStart"/>
            <w:r w:rsidRPr="00E853C1">
              <w:rPr>
                <w:sz w:val="22"/>
                <w:szCs w:val="22"/>
              </w:rPr>
              <w:t>analysis)</w:t>
            </w:r>
            <w:r w:rsidR="00285B46" w:rsidRPr="00F65144">
              <w:rPr>
                <w:vertAlign w:val="superscript"/>
              </w:rPr>
              <w:t>b</w:t>
            </w:r>
            <w:proofErr w:type="gramEnd"/>
          </w:p>
        </w:tc>
      </w:tr>
      <w:tr w:rsidR="00E853C1" w:rsidRPr="00E853C1" w14:paraId="7BBF780C" w14:textId="77777777" w:rsidTr="00F42C1B">
        <w:tc>
          <w:tcPr>
            <w:tcW w:w="4855" w:type="dxa"/>
          </w:tcPr>
          <w:p w14:paraId="5B130F10" w14:textId="268EA98A" w:rsidR="00E853C1" w:rsidRPr="00E853C1" w:rsidRDefault="00E853C1" w:rsidP="00E853C1">
            <w:pPr>
              <w:pStyle w:val="AAPTableText"/>
              <w:rPr>
                <w:sz w:val="22"/>
                <w:szCs w:val="22"/>
              </w:rPr>
            </w:pPr>
            <w:r w:rsidRPr="00E853C1">
              <w:rPr>
                <w:rStyle w:val="AAPTableBodybold"/>
                <w:sz w:val="22"/>
                <w:szCs w:val="22"/>
              </w:rPr>
              <w:t>Tuberculosis Skin Test (Mantoux)</w:t>
            </w:r>
            <w:r>
              <w:rPr>
                <w:rStyle w:val="AAPTableBodybold"/>
                <w:sz w:val="22"/>
                <w:szCs w:val="22"/>
              </w:rPr>
              <w:t xml:space="preserve">: </w:t>
            </w:r>
            <w:r w:rsidRPr="00F65144">
              <w:rPr>
                <w:b/>
                <w:bCs/>
              </w:rPr>
              <w:t>Z11.1</w:t>
            </w:r>
            <w:r w:rsidRPr="00E853C1">
              <w:rPr>
                <w:rFonts w:cs="Calibri"/>
                <w:sz w:val="22"/>
                <w:szCs w:val="22"/>
              </w:rPr>
              <w:t xml:space="preserve"> (screening for respiratory TB)</w:t>
            </w:r>
          </w:p>
        </w:tc>
        <w:tc>
          <w:tcPr>
            <w:tcW w:w="4495" w:type="dxa"/>
          </w:tcPr>
          <w:p w14:paraId="0535CB28" w14:textId="32BA33F9" w:rsidR="00E853C1" w:rsidRPr="00E853C1" w:rsidRDefault="00E853C1" w:rsidP="00F42C1B">
            <w:pPr>
              <w:pStyle w:val="AAPTableText"/>
              <w:rPr>
                <w:sz w:val="22"/>
                <w:szCs w:val="22"/>
              </w:rPr>
            </w:pPr>
            <w:r w:rsidRPr="00F65144">
              <w:rPr>
                <w:b/>
                <w:bCs/>
              </w:rPr>
              <w:t>86580</w:t>
            </w:r>
            <w:r w:rsidRPr="002D23E1">
              <w:rPr>
                <w:sz w:val="22"/>
                <w:szCs w:val="22"/>
              </w:rPr>
              <w:t xml:space="preserve"> (tuberculosis, intradermal [includes administration</w:t>
            </w:r>
            <w:proofErr w:type="gramStart"/>
            <w:r w:rsidRPr="002D23E1">
              <w:rPr>
                <w:sz w:val="22"/>
                <w:szCs w:val="22"/>
              </w:rPr>
              <w:t>])</w:t>
            </w:r>
            <w:r w:rsidR="00285B46" w:rsidRPr="00F65144">
              <w:rPr>
                <w:vertAlign w:val="superscript"/>
              </w:rPr>
              <w:t>c</w:t>
            </w:r>
            <w:proofErr w:type="gramEnd"/>
          </w:p>
        </w:tc>
      </w:tr>
      <w:tr w:rsidR="00E853C1" w:rsidRPr="00E853C1" w14:paraId="7D5DD7C5" w14:textId="77777777" w:rsidTr="00F42C1B">
        <w:tc>
          <w:tcPr>
            <w:tcW w:w="4855" w:type="dxa"/>
          </w:tcPr>
          <w:p w14:paraId="504B903D" w14:textId="2C68AFCD" w:rsidR="00E853C1" w:rsidRPr="00E853C1" w:rsidRDefault="00E853C1" w:rsidP="00E853C1">
            <w:pPr>
              <w:pStyle w:val="AAPTableBody"/>
              <w:rPr>
                <w:sz w:val="22"/>
                <w:szCs w:val="22"/>
              </w:rPr>
            </w:pPr>
            <w:proofErr w:type="spellStart"/>
            <w:r w:rsidRPr="00E853C1">
              <w:rPr>
                <w:rStyle w:val="AAPTableBodybold"/>
                <w:sz w:val="22"/>
                <w:szCs w:val="22"/>
              </w:rPr>
              <w:t>Chlamydia</w:t>
            </w:r>
            <w:r w:rsidR="00285B46" w:rsidRPr="00F65144">
              <w:rPr>
                <w:vertAlign w:val="superscript"/>
              </w:rPr>
              <w:t>a</w:t>
            </w:r>
            <w:proofErr w:type="spellEnd"/>
            <w:r w:rsidRPr="00E853C1">
              <w:t>:</w:t>
            </w:r>
            <w:r>
              <w:t xml:space="preserve"> </w:t>
            </w:r>
            <w:r w:rsidRPr="00F65144">
              <w:rPr>
                <w:b/>
                <w:bCs/>
              </w:rPr>
              <w:t>Z11.8</w:t>
            </w:r>
            <w:r w:rsidRPr="00E853C1">
              <w:rPr>
                <w:sz w:val="22"/>
                <w:szCs w:val="22"/>
              </w:rPr>
              <w:t xml:space="preserve"> (screening for other infectious and parasitic diseases [</w:t>
            </w:r>
            <w:proofErr w:type="spellStart"/>
            <w:r w:rsidRPr="00E853C1">
              <w:rPr>
                <w:sz w:val="22"/>
                <w:szCs w:val="22"/>
              </w:rPr>
              <w:t>eg</w:t>
            </w:r>
            <w:proofErr w:type="spellEnd"/>
            <w:r w:rsidRPr="00E853C1">
              <w:rPr>
                <w:sz w:val="22"/>
                <w:szCs w:val="22"/>
              </w:rPr>
              <w:t>, chlamydia])</w:t>
            </w:r>
          </w:p>
        </w:tc>
        <w:tc>
          <w:tcPr>
            <w:tcW w:w="4495" w:type="dxa"/>
          </w:tcPr>
          <w:p w14:paraId="7DE94694" w14:textId="2DA9409E" w:rsidR="00E853C1" w:rsidRPr="00E853C1" w:rsidRDefault="00E853C1" w:rsidP="00F42C1B">
            <w:pPr>
              <w:pStyle w:val="AAPTableText"/>
              <w:rPr>
                <w:sz w:val="22"/>
                <w:szCs w:val="22"/>
              </w:rPr>
            </w:pPr>
            <w:r w:rsidRPr="00F65144">
              <w:rPr>
                <w:b/>
                <w:bCs/>
              </w:rPr>
              <w:t>87491</w:t>
            </w:r>
            <w:r w:rsidR="00D37638">
              <w:rPr>
                <w:sz w:val="22"/>
                <w:szCs w:val="22"/>
              </w:rPr>
              <w:t xml:space="preserve"> </w:t>
            </w:r>
            <w:r w:rsidR="00D37638">
              <w:t>(</w:t>
            </w:r>
            <w:r w:rsidR="00D37638">
              <w:rPr>
                <w:sz w:val="22"/>
                <w:szCs w:val="22"/>
              </w:rPr>
              <w:t>In</w:t>
            </w:r>
            <w:r w:rsidRPr="00E853C1">
              <w:rPr>
                <w:sz w:val="22"/>
                <w:szCs w:val="22"/>
              </w:rPr>
              <w:t>fectious agent detection by nucleic acid (DNA or RNA); Chlamydia trachomatis, amplified probe technique)</w:t>
            </w:r>
          </w:p>
          <w:p w14:paraId="79459479" w14:textId="10A6F330" w:rsidR="00E853C1" w:rsidRPr="00E853C1" w:rsidRDefault="00E853C1" w:rsidP="00F42C1B">
            <w:pPr>
              <w:pStyle w:val="AAPTableText"/>
              <w:rPr>
                <w:sz w:val="22"/>
                <w:szCs w:val="22"/>
              </w:rPr>
            </w:pPr>
            <w:r w:rsidRPr="00E853C1">
              <w:rPr>
                <w:sz w:val="22"/>
                <w:szCs w:val="22"/>
              </w:rPr>
              <w:t>See also</w:t>
            </w:r>
            <w:r w:rsidRPr="00F65144">
              <w:rPr>
                <w:b/>
                <w:bCs/>
              </w:rPr>
              <w:t xml:space="preserve"> 86631</w:t>
            </w:r>
            <w:r w:rsidRPr="00E853C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or</w:t>
            </w:r>
            <w:r w:rsidRPr="00E853C1">
              <w:rPr>
                <w:sz w:val="22"/>
                <w:szCs w:val="22"/>
              </w:rPr>
              <w:t xml:space="preserve"> </w:t>
            </w:r>
            <w:r w:rsidRPr="00F65144">
              <w:rPr>
                <w:b/>
                <w:bCs/>
              </w:rPr>
              <w:t>86632</w:t>
            </w:r>
            <w:r w:rsidRPr="00E853C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for </w:t>
            </w:r>
            <w:r w:rsidRPr="00E853C1">
              <w:rPr>
                <w:sz w:val="22"/>
                <w:szCs w:val="22"/>
              </w:rPr>
              <w:t>antibody</w:t>
            </w:r>
            <w:r>
              <w:rPr>
                <w:sz w:val="22"/>
                <w:szCs w:val="22"/>
              </w:rPr>
              <w:t xml:space="preserve"> testing</w:t>
            </w:r>
            <w:r w:rsidRPr="00E853C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or </w:t>
            </w:r>
            <w:r w:rsidRPr="00F65144">
              <w:rPr>
                <w:b/>
                <w:bCs/>
              </w:rPr>
              <w:t>87110</w:t>
            </w:r>
            <w:r w:rsidRPr="00E853C1">
              <w:rPr>
                <w:rFonts w:cs="Calibri"/>
                <w:sz w:val="22"/>
                <w:szCs w:val="22"/>
              </w:rPr>
              <w:t xml:space="preserve"> </w:t>
            </w:r>
            <w:proofErr w:type="gramStart"/>
            <w:r w:rsidRPr="00E853C1">
              <w:rPr>
                <w:rFonts w:cs="Calibri"/>
                <w:sz w:val="22"/>
                <w:szCs w:val="22"/>
              </w:rPr>
              <w:t>culture</w:t>
            </w:r>
            <w:proofErr w:type="gramEnd"/>
            <w:r w:rsidRPr="00E853C1">
              <w:rPr>
                <w:rFonts w:cs="Calibri"/>
                <w:sz w:val="22"/>
                <w:szCs w:val="22"/>
              </w:rPr>
              <w:t>, chlamydia, any source</w:t>
            </w:r>
          </w:p>
        </w:tc>
      </w:tr>
      <w:tr w:rsidR="00E853C1" w:rsidRPr="00E853C1" w14:paraId="78691E7E" w14:textId="77777777" w:rsidTr="00F42C1B">
        <w:tc>
          <w:tcPr>
            <w:tcW w:w="4855" w:type="dxa"/>
          </w:tcPr>
          <w:p w14:paraId="6844FD00" w14:textId="472D04DE" w:rsidR="00E853C1" w:rsidRPr="00E853C1" w:rsidRDefault="00E853C1" w:rsidP="00E853C1">
            <w:pPr>
              <w:pStyle w:val="AAPTableBody"/>
            </w:pPr>
            <w:proofErr w:type="spellStart"/>
            <w:r w:rsidRPr="00E853C1">
              <w:rPr>
                <w:rStyle w:val="AAPTableBodybold"/>
                <w:sz w:val="22"/>
                <w:szCs w:val="22"/>
              </w:rPr>
              <w:t>Gonorrhea</w:t>
            </w:r>
            <w:r w:rsidR="00285B46" w:rsidRPr="00F65144">
              <w:rPr>
                <w:vertAlign w:val="superscript"/>
              </w:rPr>
              <w:t>a</w:t>
            </w:r>
            <w:proofErr w:type="spellEnd"/>
            <w:r>
              <w:t xml:space="preserve">: </w:t>
            </w:r>
            <w:r w:rsidRPr="00F65144">
              <w:rPr>
                <w:b/>
                <w:bCs/>
              </w:rPr>
              <w:t>Z11.3</w:t>
            </w:r>
            <w:r w:rsidRPr="00E853C1">
              <w:rPr>
                <w:rFonts w:cs="Calibri"/>
              </w:rPr>
              <w:t xml:space="preserve"> (screening for infections with a predominantly sexual mode of transmission)</w:t>
            </w:r>
          </w:p>
        </w:tc>
        <w:tc>
          <w:tcPr>
            <w:tcW w:w="4495" w:type="dxa"/>
          </w:tcPr>
          <w:p w14:paraId="39AAE53B" w14:textId="77777777" w:rsidR="00E853C1" w:rsidRPr="00E853C1" w:rsidRDefault="00E853C1" w:rsidP="00F42C1B">
            <w:pPr>
              <w:pStyle w:val="AAPTableText"/>
              <w:rPr>
                <w:sz w:val="22"/>
                <w:szCs w:val="22"/>
              </w:rPr>
            </w:pPr>
            <w:r w:rsidRPr="00F65144">
              <w:rPr>
                <w:b/>
                <w:bCs/>
              </w:rPr>
              <w:t>87591</w:t>
            </w:r>
            <w:r w:rsidRPr="00E853C1">
              <w:rPr>
                <w:sz w:val="22"/>
                <w:szCs w:val="22"/>
              </w:rPr>
              <w:t xml:space="preserve"> (infectious agent detection by nucleic acid (DNA or RNA); Neisseria gonorrhoeae, amplified probe technique)</w:t>
            </w:r>
          </w:p>
          <w:p w14:paraId="6C28E86A" w14:textId="3DAF365C" w:rsidR="00E853C1" w:rsidRPr="00E853C1" w:rsidRDefault="00E853C1" w:rsidP="00F42C1B">
            <w:pPr>
              <w:pStyle w:val="AAPTableText"/>
              <w:rPr>
                <w:sz w:val="22"/>
                <w:szCs w:val="22"/>
              </w:rPr>
            </w:pPr>
            <w:r w:rsidRPr="00E853C1">
              <w:rPr>
                <w:sz w:val="22"/>
                <w:szCs w:val="22"/>
              </w:rPr>
              <w:t xml:space="preserve">See also </w:t>
            </w:r>
            <w:r w:rsidRPr="00F65144">
              <w:rPr>
                <w:b/>
                <w:bCs/>
              </w:rPr>
              <w:t>87081</w:t>
            </w:r>
            <w:r w:rsidRPr="00E853C1">
              <w:rPr>
                <w:sz w:val="22"/>
                <w:szCs w:val="22"/>
              </w:rPr>
              <w:t xml:space="preserve"> screening culture or </w:t>
            </w:r>
            <w:r w:rsidRPr="00F65144">
              <w:rPr>
                <w:b/>
                <w:bCs/>
              </w:rPr>
              <w:t xml:space="preserve">87205 </w:t>
            </w:r>
            <w:proofErr w:type="gramStart"/>
            <w:r w:rsidRPr="0009149A">
              <w:rPr>
                <w:sz w:val="22"/>
                <w:szCs w:val="22"/>
              </w:rPr>
              <w:t>smear</w:t>
            </w:r>
            <w:proofErr w:type="gramEnd"/>
          </w:p>
        </w:tc>
      </w:tr>
      <w:tr w:rsidR="00E853C1" w:rsidRPr="00E853C1" w14:paraId="4516A228" w14:textId="77777777" w:rsidTr="00F42C1B">
        <w:tc>
          <w:tcPr>
            <w:tcW w:w="4855" w:type="dxa"/>
          </w:tcPr>
          <w:p w14:paraId="39E407AB" w14:textId="252097BC" w:rsidR="00E853C1" w:rsidRPr="00E853C1" w:rsidRDefault="00E853C1" w:rsidP="00E853C1">
            <w:pPr>
              <w:pStyle w:val="AAPTableText"/>
            </w:pPr>
            <w:r w:rsidRPr="00E853C1">
              <w:rPr>
                <w:rStyle w:val="AAPTableBodybold"/>
                <w:sz w:val="22"/>
                <w:szCs w:val="22"/>
              </w:rPr>
              <w:t>Human immunodeficiency virus (HIV)</w:t>
            </w:r>
            <w:r w:rsidR="00285B46" w:rsidRPr="00CD3F82">
              <w:rPr>
                <w:vertAlign w:val="superscript"/>
              </w:rPr>
              <w:t>a</w:t>
            </w:r>
            <w:r w:rsidRPr="00E853C1">
              <w:t xml:space="preserve">: </w:t>
            </w:r>
            <w:r w:rsidRPr="00CD3F82">
              <w:rPr>
                <w:b/>
                <w:bCs/>
              </w:rPr>
              <w:t>Z11.4</w:t>
            </w:r>
            <w:r w:rsidRPr="00E853C1">
              <w:rPr>
                <w:rFonts w:cs="Calibri"/>
              </w:rPr>
              <w:t xml:space="preserve"> (screening for HIV)</w:t>
            </w:r>
          </w:p>
        </w:tc>
        <w:tc>
          <w:tcPr>
            <w:tcW w:w="4495" w:type="dxa"/>
          </w:tcPr>
          <w:p w14:paraId="7C07100C" w14:textId="77777777" w:rsidR="00E853C1" w:rsidRPr="00E853C1" w:rsidRDefault="00E853C1" w:rsidP="00F42C1B">
            <w:pPr>
              <w:pStyle w:val="AAPTableText"/>
              <w:rPr>
                <w:sz w:val="22"/>
                <w:szCs w:val="22"/>
              </w:rPr>
            </w:pPr>
            <w:r w:rsidRPr="00CD3F82">
              <w:rPr>
                <w:b/>
                <w:bCs/>
              </w:rPr>
              <w:t>86701 QW</w:t>
            </w:r>
            <w:r w:rsidRPr="00E853C1">
              <w:rPr>
                <w:sz w:val="22"/>
                <w:szCs w:val="22"/>
              </w:rPr>
              <w:t xml:space="preserve"> (antibody; HIV-1)</w:t>
            </w:r>
          </w:p>
          <w:p w14:paraId="35FF8FE6" w14:textId="77777777" w:rsidR="00E853C1" w:rsidRPr="00E853C1" w:rsidRDefault="00E853C1" w:rsidP="00F42C1B">
            <w:pPr>
              <w:pStyle w:val="AAPTableText"/>
              <w:rPr>
                <w:sz w:val="22"/>
                <w:szCs w:val="22"/>
              </w:rPr>
            </w:pPr>
            <w:r w:rsidRPr="00CD3F82">
              <w:rPr>
                <w:b/>
                <w:bCs/>
              </w:rPr>
              <w:t>G0433 QW</w:t>
            </w:r>
            <w:r w:rsidRPr="00E853C1">
              <w:rPr>
                <w:rFonts w:ascii="Cambria" w:hAnsi="Cambria"/>
                <w:sz w:val="22"/>
                <w:szCs w:val="22"/>
                <w:shd w:val="clear" w:color="auto" w:fill="CCFFFF"/>
              </w:rPr>
              <w:t xml:space="preserve"> </w:t>
            </w:r>
            <w:r w:rsidRPr="00E853C1">
              <w:rPr>
                <w:sz w:val="22"/>
                <w:szCs w:val="22"/>
              </w:rPr>
              <w:t>(infectious agent antibody detection by enzyme-linked immunosorbent assay (ELISA) technique, HIV-1 and/or HIV-2, screening)</w:t>
            </w:r>
          </w:p>
          <w:p w14:paraId="284047FE" w14:textId="77777777" w:rsidR="00E853C1" w:rsidRPr="00E853C1" w:rsidRDefault="00E853C1" w:rsidP="00F42C1B">
            <w:pPr>
              <w:pStyle w:val="AAPTableText"/>
              <w:rPr>
                <w:sz w:val="22"/>
                <w:szCs w:val="22"/>
              </w:rPr>
            </w:pPr>
            <w:r w:rsidRPr="00CD3F82">
              <w:rPr>
                <w:b/>
                <w:bCs/>
              </w:rPr>
              <w:t>86703</w:t>
            </w:r>
            <w:r w:rsidRPr="00E853C1">
              <w:rPr>
                <w:rFonts w:cs="Calibri"/>
                <w:sz w:val="22"/>
                <w:szCs w:val="22"/>
              </w:rPr>
              <w:t xml:space="preserve"> (antibody; HIV-1 and HIV-2; single assay)</w:t>
            </w:r>
          </w:p>
        </w:tc>
      </w:tr>
      <w:tr w:rsidR="00E853C1" w:rsidRPr="00E853C1" w14:paraId="07E7FE05" w14:textId="77777777" w:rsidTr="00F42C1B">
        <w:tc>
          <w:tcPr>
            <w:tcW w:w="4855" w:type="dxa"/>
          </w:tcPr>
          <w:p w14:paraId="0E6B834F" w14:textId="6E69CE07" w:rsidR="00E853C1" w:rsidRPr="00E853C1" w:rsidRDefault="00E853C1" w:rsidP="00E853C1">
            <w:pPr>
              <w:pStyle w:val="AAPTableBody"/>
              <w:rPr>
                <w:sz w:val="22"/>
                <w:szCs w:val="22"/>
              </w:rPr>
            </w:pPr>
            <w:proofErr w:type="spellStart"/>
            <w:r w:rsidRPr="00E853C1">
              <w:rPr>
                <w:rStyle w:val="AAPTableBodybold"/>
                <w:sz w:val="22"/>
                <w:szCs w:val="22"/>
              </w:rPr>
              <w:t>Syphilis</w:t>
            </w:r>
            <w:r w:rsidR="00285B46" w:rsidRPr="00CD3F82">
              <w:rPr>
                <w:vertAlign w:val="superscript"/>
              </w:rPr>
              <w:t>a</w:t>
            </w:r>
            <w:proofErr w:type="spellEnd"/>
            <w:r>
              <w:t xml:space="preserve">: </w:t>
            </w:r>
            <w:r w:rsidRPr="00CD3F82">
              <w:rPr>
                <w:b/>
                <w:bCs/>
              </w:rPr>
              <w:t>Z11.3</w:t>
            </w:r>
            <w:r w:rsidRPr="00E853C1">
              <w:rPr>
                <w:rFonts w:cs="Calibri"/>
                <w:sz w:val="22"/>
                <w:szCs w:val="22"/>
              </w:rPr>
              <w:t xml:space="preserve"> (</w:t>
            </w:r>
            <w:r>
              <w:rPr>
                <w:rFonts w:cs="Calibri"/>
                <w:sz w:val="22"/>
                <w:szCs w:val="22"/>
              </w:rPr>
              <w:t>s</w:t>
            </w:r>
            <w:r w:rsidRPr="00E853C1">
              <w:rPr>
                <w:rFonts w:cs="Calibri"/>
                <w:sz w:val="22"/>
                <w:szCs w:val="22"/>
              </w:rPr>
              <w:t>creening for infections with a predominantly sexual mode of transmission)</w:t>
            </w:r>
          </w:p>
        </w:tc>
        <w:tc>
          <w:tcPr>
            <w:tcW w:w="4495" w:type="dxa"/>
          </w:tcPr>
          <w:p w14:paraId="4D9929DE" w14:textId="77777777" w:rsidR="00E853C1" w:rsidRPr="00E853C1" w:rsidRDefault="00E853C1" w:rsidP="00F42C1B">
            <w:pPr>
              <w:pStyle w:val="AAPTableText"/>
              <w:rPr>
                <w:rStyle w:val="AAPCode"/>
                <w:b w:val="0"/>
                <w:sz w:val="22"/>
                <w:szCs w:val="22"/>
              </w:rPr>
            </w:pPr>
            <w:r w:rsidRPr="00CD3F82">
              <w:rPr>
                <w:b/>
                <w:bCs/>
              </w:rPr>
              <w:t>86780 QW</w:t>
            </w:r>
            <w:r w:rsidRPr="00E853C1">
              <w:rPr>
                <w:sz w:val="22"/>
                <w:szCs w:val="22"/>
              </w:rPr>
              <w:t xml:space="preserve"> (antibody; Treponema pallidum)</w:t>
            </w:r>
          </w:p>
        </w:tc>
      </w:tr>
      <w:tr w:rsidR="00E853C1" w:rsidRPr="00E853C1" w14:paraId="706908E2" w14:textId="77777777" w:rsidTr="00F42C1B">
        <w:tc>
          <w:tcPr>
            <w:tcW w:w="9350" w:type="dxa"/>
            <w:gridSpan w:val="2"/>
          </w:tcPr>
          <w:p w14:paraId="49F9AD25" w14:textId="0A744999" w:rsidR="00B1636F" w:rsidRPr="00CD3F82" w:rsidRDefault="00B1636F" w:rsidP="00CD3F82">
            <w:pPr>
              <w:rPr>
                <w:rFonts w:asciiTheme="minorHAnsi" w:hAnsiTheme="minorHAnsi"/>
                <w:sz w:val="22"/>
                <w:szCs w:val="22"/>
              </w:rPr>
            </w:pPr>
            <w:r w:rsidRPr="00CD3F82">
              <w:rPr>
                <w:rFonts w:asciiTheme="minorHAnsi" w:hAnsiTheme="minorHAnsi"/>
                <w:sz w:val="22"/>
                <w:szCs w:val="22"/>
                <w:vertAlign w:val="superscript"/>
              </w:rPr>
              <w:lastRenderedPageBreak/>
              <w:t>a</w:t>
            </w:r>
            <w:r w:rsidRPr="00CD3F82">
              <w:rPr>
                <w:rFonts w:asciiTheme="minorHAnsi" w:hAnsiTheme="minorHAnsi"/>
                <w:sz w:val="22"/>
                <w:szCs w:val="22"/>
              </w:rPr>
              <w:t xml:space="preserve"> Codes in category </w:t>
            </w:r>
            <w:r w:rsidRPr="00CD3F82">
              <w:rPr>
                <w:rFonts w:asciiTheme="minorHAnsi" w:hAnsiTheme="minorHAnsi"/>
                <w:b/>
                <w:bCs/>
                <w:sz w:val="22"/>
                <w:szCs w:val="22"/>
              </w:rPr>
              <w:t>Z72</w:t>
            </w:r>
            <w:r w:rsidRPr="00CD3F82">
              <w:rPr>
                <w:rFonts w:asciiTheme="minorHAnsi" w:hAnsiTheme="minorHAnsi"/>
                <w:sz w:val="22"/>
                <w:szCs w:val="22"/>
              </w:rPr>
              <w:t>, problems related to lifestyle, may also be required to support screening of a sexually active adolescent.</w:t>
            </w:r>
          </w:p>
          <w:p w14:paraId="6A08CD85" w14:textId="447332C5" w:rsidR="00E853C1" w:rsidRPr="00CD3F82" w:rsidRDefault="00285B46" w:rsidP="00CD3F82">
            <w:pPr>
              <w:rPr>
                <w:rFonts w:asciiTheme="minorHAnsi" w:hAnsiTheme="minorHAnsi"/>
                <w:sz w:val="22"/>
                <w:szCs w:val="22"/>
              </w:rPr>
            </w:pPr>
            <w:r w:rsidRPr="00CD3F82">
              <w:rPr>
                <w:rFonts w:asciiTheme="minorHAnsi" w:hAnsiTheme="minorHAnsi"/>
                <w:sz w:val="22"/>
                <w:szCs w:val="22"/>
                <w:vertAlign w:val="superscript"/>
              </w:rPr>
              <w:t>b</w:t>
            </w:r>
            <w:r w:rsidR="00E853C1" w:rsidRPr="00CD3F82">
              <w:rPr>
                <w:rFonts w:asciiTheme="minorHAnsi" w:hAnsiTheme="minorHAnsi"/>
                <w:sz w:val="22"/>
                <w:szCs w:val="22"/>
              </w:rPr>
              <w:t xml:space="preserve"> Some states provide lead testing at no cost to patients covered under the Medicaid </w:t>
            </w:r>
            <w:r w:rsidR="003D2248" w:rsidRPr="00CD3F82">
              <w:rPr>
                <w:rFonts w:asciiTheme="minorHAnsi" w:hAnsiTheme="minorHAnsi"/>
                <w:sz w:val="22"/>
                <w:szCs w:val="22"/>
              </w:rPr>
              <w:t xml:space="preserve">Early and Periodical Screening, Diagnostic, and Treatment </w:t>
            </w:r>
            <w:r w:rsidR="00E853C1" w:rsidRPr="00CD3F82">
              <w:rPr>
                <w:rFonts w:asciiTheme="minorHAnsi" w:hAnsiTheme="minorHAnsi"/>
                <w:sz w:val="22"/>
                <w:szCs w:val="22"/>
              </w:rPr>
              <w:t>program. Check your state Medicaid requirements for reporting this service.</w:t>
            </w:r>
          </w:p>
          <w:p w14:paraId="0BB3163E" w14:textId="5A5F15E0" w:rsidR="00E853C1" w:rsidRPr="00E853C1" w:rsidRDefault="00285B46" w:rsidP="00CD3F82">
            <w:r w:rsidRPr="00CD3F82">
              <w:rPr>
                <w:rFonts w:asciiTheme="minorHAnsi" w:hAnsiTheme="minorHAnsi"/>
                <w:sz w:val="22"/>
                <w:szCs w:val="22"/>
                <w:vertAlign w:val="superscript"/>
              </w:rPr>
              <w:t>c</w:t>
            </w:r>
            <w:r w:rsidR="00E853C1" w:rsidRPr="00CD3F82">
              <w:rPr>
                <w:rFonts w:asciiTheme="minorHAnsi" w:hAnsiTheme="minorHAnsi"/>
                <w:sz w:val="22"/>
                <w:szCs w:val="22"/>
              </w:rPr>
              <w:t xml:space="preserve"> Report code </w:t>
            </w:r>
            <w:r w:rsidR="00E853C1" w:rsidRPr="00CD3F82">
              <w:rPr>
                <w:rFonts w:asciiTheme="minorHAnsi" w:hAnsiTheme="minorHAnsi"/>
                <w:b/>
                <w:bCs/>
                <w:sz w:val="22"/>
                <w:szCs w:val="22"/>
              </w:rPr>
              <w:t>99211</w:t>
            </w:r>
            <w:r w:rsidR="00E853C1" w:rsidRPr="00CD3F82">
              <w:rPr>
                <w:rFonts w:asciiTheme="minorHAnsi" w:hAnsiTheme="minorHAnsi"/>
                <w:sz w:val="22"/>
                <w:szCs w:val="22"/>
              </w:rPr>
              <w:t xml:space="preserve"> when the patient returns for the reading of a PPD test. In the case of a positive test result, when the physician sees the patient and forms a further diagnostic or treatment plan, the complexity may lead to a higher-level code (</w:t>
            </w:r>
            <w:proofErr w:type="spellStart"/>
            <w:r w:rsidR="00E853C1" w:rsidRPr="00CD3F82">
              <w:rPr>
                <w:rFonts w:asciiTheme="minorHAnsi" w:hAnsiTheme="minorHAnsi"/>
                <w:sz w:val="22"/>
                <w:szCs w:val="22"/>
              </w:rPr>
              <w:t>ie</w:t>
            </w:r>
            <w:proofErr w:type="spellEnd"/>
            <w:r w:rsidR="00E853C1" w:rsidRPr="00CD3F82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r w:rsidR="00E853C1" w:rsidRPr="00CD3F82">
              <w:rPr>
                <w:rFonts w:asciiTheme="minorHAnsi" w:hAnsiTheme="minorHAnsi"/>
                <w:b/>
                <w:bCs/>
                <w:sz w:val="22"/>
                <w:szCs w:val="22"/>
              </w:rPr>
              <w:t>99212–99215</w:t>
            </w:r>
            <w:r w:rsidR="00E853C1" w:rsidRPr="00CD3F82">
              <w:rPr>
                <w:rFonts w:asciiTheme="minorHAnsi" w:hAnsiTheme="minorHAnsi"/>
                <w:sz w:val="22"/>
                <w:szCs w:val="22"/>
              </w:rPr>
              <w:t>).</w:t>
            </w:r>
          </w:p>
        </w:tc>
      </w:tr>
    </w:tbl>
    <w:p w14:paraId="09BA0071" w14:textId="77777777" w:rsidR="00ED2607" w:rsidRDefault="00ED2607"/>
    <w:sectPr w:rsidR="00ED26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yriad Pro Cond">
    <w:altName w:val="Calibri"/>
    <w:charset w:val="00"/>
    <w:family w:val="auto"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3C1"/>
    <w:rsid w:val="00087A19"/>
    <w:rsid w:val="00285B46"/>
    <w:rsid w:val="00330680"/>
    <w:rsid w:val="003D2248"/>
    <w:rsid w:val="005778F5"/>
    <w:rsid w:val="007D5DE0"/>
    <w:rsid w:val="00871791"/>
    <w:rsid w:val="00B1636F"/>
    <w:rsid w:val="00B66CC4"/>
    <w:rsid w:val="00BB3768"/>
    <w:rsid w:val="00CD3F82"/>
    <w:rsid w:val="00D24C62"/>
    <w:rsid w:val="00D323A2"/>
    <w:rsid w:val="00D37638"/>
    <w:rsid w:val="00E853C1"/>
    <w:rsid w:val="00ED2607"/>
    <w:rsid w:val="00F65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1D39A7"/>
  <w15:chartTrackingRefBased/>
  <w15:docId w15:val="{AB09E5F2-8828-43CA-9D3A-F0AAFA85A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53C1"/>
    <w:pPr>
      <w:spacing w:after="200" w:line="240" w:lineRule="auto"/>
    </w:pPr>
    <w:rPr>
      <w:rFonts w:ascii="Cambria" w:eastAsia="MS Mincho" w:hAnsi="Cambri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APTableSubhead">
    <w:name w:val="AAP Table Subhead"/>
    <w:basedOn w:val="Normal"/>
    <w:uiPriority w:val="99"/>
    <w:rsid w:val="00E853C1"/>
    <w:pPr>
      <w:widowControl w:val="0"/>
      <w:tabs>
        <w:tab w:val="center" w:pos="2836"/>
        <w:tab w:val="center" w:pos="4440"/>
        <w:tab w:val="center" w:pos="6146"/>
        <w:tab w:val="center" w:pos="7445"/>
      </w:tabs>
      <w:autoSpaceDE w:val="0"/>
      <w:autoSpaceDN w:val="0"/>
      <w:adjustRightInd w:val="0"/>
      <w:textAlignment w:val="center"/>
    </w:pPr>
    <w:rPr>
      <w:rFonts w:ascii="Calibri" w:eastAsia="Times New Roman" w:hAnsi="Calibri" w:cs="Myriad Pro Cond"/>
      <w:b/>
      <w:bCs/>
      <w:color w:val="000000"/>
      <w:szCs w:val="22"/>
      <w:lang w:eastAsia="en-GB"/>
    </w:rPr>
  </w:style>
  <w:style w:type="paragraph" w:customStyle="1" w:styleId="AAPTableText">
    <w:name w:val="AAP Table Text"/>
    <w:basedOn w:val="Normal"/>
    <w:uiPriority w:val="99"/>
    <w:rsid w:val="00E853C1"/>
    <w:pPr>
      <w:widowControl w:val="0"/>
      <w:tabs>
        <w:tab w:val="left" w:pos="216"/>
        <w:tab w:val="left" w:pos="360"/>
        <w:tab w:val="left" w:pos="720"/>
      </w:tabs>
      <w:autoSpaceDE w:val="0"/>
      <w:autoSpaceDN w:val="0"/>
      <w:adjustRightInd w:val="0"/>
      <w:ind w:left="216" w:hanging="216"/>
      <w:textAlignment w:val="center"/>
    </w:pPr>
    <w:rPr>
      <w:rFonts w:ascii="Calibri" w:eastAsia="Times New Roman" w:hAnsi="Calibri" w:cs="Myriad Pro Cond"/>
      <w:color w:val="000000"/>
      <w:szCs w:val="20"/>
      <w:lang w:eastAsia="en-GB"/>
    </w:rPr>
  </w:style>
  <w:style w:type="paragraph" w:customStyle="1" w:styleId="AAPTableNotes">
    <w:name w:val="AAP Table Notes"/>
    <w:basedOn w:val="Normal"/>
    <w:uiPriority w:val="8"/>
    <w:qFormat/>
    <w:rsid w:val="00E853C1"/>
    <w:pPr>
      <w:shd w:val="clear" w:color="auto" w:fill="95B3D7"/>
    </w:pPr>
    <w:rPr>
      <w:rFonts w:ascii="Calibri" w:eastAsia="Calibri" w:hAnsi="Calibri"/>
      <w:b/>
    </w:rPr>
  </w:style>
  <w:style w:type="character" w:customStyle="1" w:styleId="AAPCode">
    <w:name w:val="AAP Code"/>
    <w:uiPriority w:val="99"/>
    <w:qFormat/>
    <w:rsid w:val="00E853C1"/>
    <w:rPr>
      <w:rFonts w:ascii="Cambria" w:hAnsi="Cambria"/>
      <w:b/>
      <w:sz w:val="24"/>
      <w:u w:val="none"/>
      <w:bdr w:val="none" w:sz="0" w:space="0" w:color="auto"/>
      <w:shd w:val="clear" w:color="auto" w:fill="CCFFFF"/>
    </w:rPr>
  </w:style>
  <w:style w:type="character" w:customStyle="1" w:styleId="AAPSuperscript">
    <w:name w:val="AAP Superscript"/>
    <w:uiPriority w:val="1"/>
    <w:qFormat/>
    <w:rsid w:val="00E853C1"/>
    <w:rPr>
      <w:bdr w:val="none" w:sz="0" w:space="0" w:color="auto"/>
      <w:shd w:val="clear" w:color="auto" w:fill="FFFF00"/>
      <w:vertAlign w:val="superscript"/>
    </w:rPr>
  </w:style>
  <w:style w:type="character" w:customStyle="1" w:styleId="AAPTableBodybold">
    <w:name w:val="AAP Table Body bold"/>
    <w:uiPriority w:val="99"/>
    <w:rsid w:val="00E853C1"/>
    <w:rPr>
      <w:rFonts w:ascii="Calibri" w:hAnsi="Calibri" w:cs="Myriad Pro Cond"/>
      <w:b/>
      <w:bCs/>
      <w:i w:val="0"/>
      <w:color w:val="auto"/>
      <w:w w:val="100"/>
      <w:sz w:val="24"/>
      <w:szCs w:val="20"/>
      <w:u w:val="none"/>
    </w:rPr>
  </w:style>
  <w:style w:type="paragraph" w:customStyle="1" w:styleId="AAPTableBody">
    <w:name w:val="AAP Table Body"/>
    <w:basedOn w:val="Normal"/>
    <w:rsid w:val="00E853C1"/>
    <w:rPr>
      <w:rFonts w:ascii="Calibri" w:eastAsia="Calibri" w:hAnsi="Calibri"/>
      <w:color w:val="000000"/>
    </w:rPr>
  </w:style>
  <w:style w:type="paragraph" w:customStyle="1" w:styleId="AAPTableColumnHd">
    <w:name w:val="AAP Table Column Hd"/>
    <w:basedOn w:val="AAPTableBody"/>
    <w:rsid w:val="00E853C1"/>
    <w:rPr>
      <w:b/>
    </w:rPr>
  </w:style>
  <w:style w:type="character" w:customStyle="1" w:styleId="AAPTableColumnHead">
    <w:name w:val="AAP Table Column Head"/>
    <w:uiPriority w:val="8"/>
    <w:qFormat/>
    <w:rsid w:val="00E853C1"/>
  </w:style>
  <w:style w:type="paragraph" w:customStyle="1" w:styleId="AAPTableLabel">
    <w:name w:val="AAP Table Label"/>
    <w:basedOn w:val="Normal"/>
    <w:uiPriority w:val="8"/>
    <w:qFormat/>
    <w:rsid w:val="00E853C1"/>
    <w:pPr>
      <w:shd w:val="clear" w:color="auto" w:fill="DBE5F1"/>
    </w:pPr>
    <w:rPr>
      <w:rFonts w:ascii="Calibri" w:eastAsia="Calibri" w:hAnsi="Calibri"/>
      <w:b/>
    </w:rPr>
  </w:style>
  <w:style w:type="character" w:customStyle="1" w:styleId="AAPTableSubheaditalic">
    <w:name w:val="AAP Table Subhead italic"/>
    <w:uiPriority w:val="99"/>
    <w:rsid w:val="00E853C1"/>
    <w:rPr>
      <w:rFonts w:ascii="Myriad Pro Cond" w:hAnsi="Myriad Pro Cond" w:cs="Myriad Pro Cond"/>
      <w:b/>
      <w:bCs/>
      <w:i/>
      <w:iCs/>
      <w:w w:val="100"/>
    </w:rPr>
  </w:style>
  <w:style w:type="table" w:styleId="TableGrid">
    <w:name w:val="Table Grid"/>
    <w:basedOn w:val="TableNormal"/>
    <w:uiPriority w:val="59"/>
    <w:rsid w:val="00E853C1"/>
    <w:pPr>
      <w:spacing w:after="0" w:line="240" w:lineRule="auto"/>
    </w:pPr>
    <w:rPr>
      <w:rFonts w:ascii="Cambria" w:eastAsia="MS Mincho" w:hAnsi="Cambria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D22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224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2248"/>
    <w:rPr>
      <w:rFonts w:ascii="Cambria" w:eastAsia="MS Mincho" w:hAnsi="Cambria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22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2248"/>
    <w:rPr>
      <w:rFonts w:ascii="Cambria" w:eastAsia="MS Mincho" w:hAnsi="Cambria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390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Cynthia Hughes</dc:creator>
  <cp:keywords/>
  <dc:description/>
  <cp:lastModifiedBy>Underhile, Laura</cp:lastModifiedBy>
  <cp:revision>3</cp:revision>
  <dcterms:created xsi:type="dcterms:W3CDTF">2021-07-21T14:28:00Z</dcterms:created>
  <dcterms:modified xsi:type="dcterms:W3CDTF">2021-07-21T14:28:00Z</dcterms:modified>
</cp:coreProperties>
</file>